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B154556" w14:textId="77777777" w:rsidR="00C068EB" w:rsidRPr="00E46D60" w:rsidRDefault="00C068EB" w:rsidP="00C068EB">
            <w:pPr>
              <w:autoSpaceDE w:val="0"/>
              <w:autoSpaceDN w:val="0"/>
              <w:adjustRightInd w:val="0"/>
              <w:spacing w:after="0" w:line="240" w:lineRule="auto"/>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 </w:t>
            </w:r>
            <w:r w:rsidRPr="00E46D60">
              <w:rPr>
                <w:rFonts w:ascii="TspgfgAQAChevinPro-Medium" w:hAnsi="TspgfgAQAChevinPro-Medium" w:cs="TspgfgAQAChevinPro-Medium"/>
                <w:color w:val="000000" w:themeColor="text1"/>
                <w:sz w:val="24"/>
                <w:szCs w:val="24"/>
              </w:rPr>
              <w:t>Perfect competition, imperfectly competitive markets and</w:t>
            </w:r>
          </w:p>
          <w:p w14:paraId="757809B9" w14:textId="3A11D4AD" w:rsidR="008E39B4" w:rsidRPr="00811F13" w:rsidRDefault="00C068EB" w:rsidP="00C068EB">
            <w:pPr>
              <w:rPr>
                <w:rFonts w:cstheme="minorHAnsi"/>
                <w:color w:val="000000" w:themeColor="text1"/>
                <w:sz w:val="20"/>
                <w:szCs w:val="20"/>
              </w:rPr>
            </w:pPr>
            <w:r w:rsidRPr="00E46D60">
              <w:rPr>
                <w:rFonts w:ascii="TspgfgAQAChevinPro-Medium" w:hAnsi="TspgfgAQAChevinPro-Medium" w:cs="TspgfgAQAChevinPro-Medium"/>
                <w:color w:val="000000" w:themeColor="text1"/>
                <w:sz w:val="24"/>
                <w:szCs w:val="24"/>
              </w:rPr>
              <w:t>monopoly</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5D69A72F" w:rsidR="001F7779" w:rsidRPr="001F7779" w:rsidRDefault="00E46D60" w:rsidP="00FE54CF">
            <w:pPr>
              <w:rPr>
                <w:rFonts w:cstheme="minorHAnsi"/>
              </w:rPr>
            </w:pPr>
            <w:r>
              <w:rPr>
                <w:rFonts w:cstheme="minorHAnsi"/>
              </w:rPr>
              <w:t xml:space="preserve">Students are now ready to build on their understanding of supply and demand by establishing markets that are more challenging to enter and how there are various barriers to entry that lead to contestability.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7B3C503F" w14:textId="77777777" w:rsidR="001F7779" w:rsidRDefault="001F7779" w:rsidP="005D49C7">
            <w:pPr>
              <w:rPr>
                <w:rFonts w:cstheme="minorHAnsi"/>
                <w:color w:val="000000" w:themeColor="text1"/>
                <w:sz w:val="20"/>
                <w:szCs w:val="20"/>
              </w:rPr>
            </w:pPr>
          </w:p>
          <w:p w14:paraId="7D497B86" w14:textId="34133AA6"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Perfect competition</w:t>
            </w:r>
          </w:p>
          <w:p w14:paraId="60BDBF54"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0714AD8F" w14:textId="5DB5D332"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Monopolistic competition</w:t>
            </w:r>
          </w:p>
          <w:p w14:paraId="2373FF3B"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3F52ED63" w14:textId="561323BB"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Oligopoly</w:t>
            </w:r>
          </w:p>
          <w:p w14:paraId="374E9BA5"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6B69CFC5" w14:textId="5572C31F"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Monopoly and monopoly power</w:t>
            </w:r>
          </w:p>
          <w:p w14:paraId="2EB44DA3"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5554AC7B" w14:textId="2784ED2D"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Price discrimination</w:t>
            </w:r>
          </w:p>
          <w:p w14:paraId="318BA62C"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70A51A59" w14:textId="1B12EC17"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Contestable and non-contestable markets</w:t>
            </w:r>
          </w:p>
          <w:p w14:paraId="3FF7FBD5"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08F0C817" w14:textId="32F42E61" w:rsidR="00E46D60" w:rsidRDefault="00E46D60" w:rsidP="00E46D60">
            <w:pPr>
              <w:rPr>
                <w:rFonts w:ascii="TspgfgAQAChevinPro-Medium" w:hAnsi="TspgfgAQAChevinPro-Medium" w:cs="TspgfgAQAChevinPro-Medium"/>
                <w:color w:val="000000" w:themeColor="text1"/>
                <w:sz w:val="24"/>
                <w:szCs w:val="24"/>
              </w:rPr>
            </w:pPr>
            <w:r w:rsidRPr="00E46D60">
              <w:rPr>
                <w:rFonts w:ascii="TspgfgAQAChevinPro-Medium" w:hAnsi="TspgfgAQAChevinPro-Medium" w:cs="TspgfgAQAChevinPro-Medium"/>
                <w:color w:val="000000" w:themeColor="text1"/>
                <w:sz w:val="24"/>
                <w:szCs w:val="24"/>
              </w:rPr>
              <w:t xml:space="preserve">static </w:t>
            </w:r>
            <w:r w:rsidRPr="00E46D60">
              <w:rPr>
                <w:rFonts w:ascii="WdwxbnAQAChevinPro-Medium" w:hAnsi="WdwxbnAQAChevinPro-Medium" w:cs="WdwxbnAQAChevinPro-Medium"/>
                <w:color w:val="000000" w:themeColor="text1"/>
                <w:sz w:val="24"/>
                <w:szCs w:val="24"/>
              </w:rPr>
              <w:t xml:space="preserve">efficiency, </w:t>
            </w:r>
            <w:r w:rsidRPr="00E46D60">
              <w:rPr>
                <w:rFonts w:ascii="TspgfgAQAChevinPro-Medium" w:hAnsi="TspgfgAQAChevinPro-Medium" w:cs="TspgfgAQAChevinPro-Medium"/>
                <w:color w:val="000000" w:themeColor="text1"/>
                <w:sz w:val="24"/>
                <w:szCs w:val="24"/>
              </w:rPr>
              <w:t xml:space="preserve">dynamic </w:t>
            </w:r>
            <w:r w:rsidRPr="00E46D60">
              <w:rPr>
                <w:rFonts w:ascii="WdwxbnAQAChevinPro-Medium" w:hAnsi="WdwxbnAQAChevinPro-Medium" w:cs="WdwxbnAQAChevinPro-Medium"/>
                <w:color w:val="000000" w:themeColor="text1"/>
                <w:sz w:val="24"/>
                <w:szCs w:val="24"/>
              </w:rPr>
              <w:t xml:space="preserve">efficiency </w:t>
            </w:r>
            <w:r w:rsidRPr="00E46D60">
              <w:rPr>
                <w:rFonts w:ascii="TspgfgAQAChevinPro-Medium" w:hAnsi="TspgfgAQAChevinPro-Medium" w:cs="TspgfgAQAChevinPro-Medium"/>
                <w:color w:val="000000" w:themeColor="text1"/>
                <w:sz w:val="24"/>
                <w:szCs w:val="24"/>
              </w:rPr>
              <w:t>and resource allocation</w:t>
            </w:r>
          </w:p>
          <w:p w14:paraId="5CA402F9" w14:textId="77777777" w:rsidR="00E46D60" w:rsidRPr="00E46D60" w:rsidRDefault="00E46D60" w:rsidP="00E46D60">
            <w:pPr>
              <w:rPr>
                <w:rFonts w:ascii="TspgfgAQAChevinPro-Medium" w:hAnsi="TspgfgAQAChevinPro-Medium" w:cs="TspgfgAQAChevinPro-Medium"/>
                <w:color w:val="000000" w:themeColor="text1"/>
                <w:sz w:val="24"/>
                <w:szCs w:val="24"/>
              </w:rPr>
            </w:pPr>
          </w:p>
          <w:p w14:paraId="49147324" w14:textId="132FFC71" w:rsidR="00E46D60" w:rsidRPr="00811F13" w:rsidRDefault="00E46D60" w:rsidP="00E46D60">
            <w:pPr>
              <w:rPr>
                <w:rFonts w:cstheme="minorHAnsi"/>
                <w:color w:val="000000" w:themeColor="text1"/>
                <w:sz w:val="20"/>
                <w:szCs w:val="20"/>
              </w:rPr>
            </w:pPr>
            <w:r w:rsidRPr="00E46D60">
              <w:rPr>
                <w:rFonts w:ascii="TspgfgAQAChevinPro-Medium" w:hAnsi="TspgfgAQAChevinPro-Medium" w:cs="TspgfgAQAChevinPro-Medium"/>
                <w:color w:val="000000" w:themeColor="text1"/>
                <w:sz w:val="24"/>
                <w:szCs w:val="24"/>
              </w:rPr>
              <w:t>Consumer and producer surplus</w:t>
            </w: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74AB0086" w14:textId="77777777" w:rsidR="00D331C4"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4.1.5.1 </w:t>
            </w:r>
            <w:r w:rsidRPr="00E46D60">
              <w:rPr>
                <w:rFonts w:ascii="TspgfgAQAChevinPro-Medium" w:hAnsi="TspgfgAQAChevinPro-Medium" w:cs="TspgfgAQAChevinPro-Medium"/>
                <w:color w:val="000000" w:themeColor="text1"/>
                <w:sz w:val="24"/>
                <w:szCs w:val="24"/>
              </w:rPr>
              <w:t>Market structures</w:t>
            </w:r>
          </w:p>
          <w:p w14:paraId="19A88483" w14:textId="77777777" w:rsidR="00C068EB" w:rsidRPr="00E46D60" w:rsidRDefault="00C068EB" w:rsidP="0070384C">
            <w:pPr>
              <w:pStyle w:val="ListParagraph"/>
              <w:ind w:left="1214"/>
              <w:rPr>
                <w:rFonts w:ascii="WdwxbnAQAChevinPro-Medium" w:hAnsi="WdwxbnAQAChevinPro-Medium" w:cs="WdwxbnAQAChevinPro-Medium"/>
                <w:color w:val="000000" w:themeColor="text1"/>
                <w:sz w:val="24"/>
                <w:szCs w:val="24"/>
              </w:rPr>
            </w:pPr>
            <w:r w:rsidRPr="00E46D60">
              <w:rPr>
                <w:rFonts w:ascii="QglydyArialMT" w:hAnsi="QglydyArialMT" w:cs="QglydyArialMT"/>
                <w:color w:val="000000" w:themeColor="text1"/>
                <w:sz w:val="24"/>
                <w:szCs w:val="24"/>
              </w:rPr>
              <w:t xml:space="preserve">4.1.5.2 </w:t>
            </w:r>
            <w:r w:rsidRPr="00E46D60">
              <w:rPr>
                <w:rFonts w:ascii="TspgfgAQAChevinPro-Medium" w:hAnsi="TspgfgAQAChevinPro-Medium" w:cs="TspgfgAQAChevinPro-Medium"/>
                <w:color w:val="000000" w:themeColor="text1"/>
                <w:sz w:val="24"/>
                <w:szCs w:val="24"/>
              </w:rPr>
              <w:t xml:space="preserve">The objectives of </w:t>
            </w:r>
            <w:r w:rsidRPr="00E46D60">
              <w:rPr>
                <w:rFonts w:ascii="WdwxbnAQAChevinPro-Medium" w:hAnsi="WdwxbnAQAChevinPro-Medium" w:cs="WdwxbnAQAChevinPro-Medium"/>
                <w:color w:val="000000" w:themeColor="text1"/>
                <w:sz w:val="24"/>
                <w:szCs w:val="24"/>
              </w:rPr>
              <w:t>firms</w:t>
            </w:r>
          </w:p>
          <w:p w14:paraId="1603E284"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4.1.5.3 </w:t>
            </w:r>
            <w:r w:rsidRPr="00E46D60">
              <w:rPr>
                <w:rFonts w:ascii="TspgfgAQAChevinPro-Medium" w:hAnsi="TspgfgAQAChevinPro-Medium" w:cs="TspgfgAQAChevinPro-Medium"/>
                <w:color w:val="000000" w:themeColor="text1"/>
                <w:sz w:val="24"/>
                <w:szCs w:val="24"/>
              </w:rPr>
              <w:t>Perfect competition</w:t>
            </w:r>
          </w:p>
          <w:p w14:paraId="513F35C9"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4.1.5.4 </w:t>
            </w:r>
            <w:r w:rsidRPr="00E46D60">
              <w:rPr>
                <w:rFonts w:ascii="TspgfgAQAChevinPro-Medium" w:hAnsi="TspgfgAQAChevinPro-Medium" w:cs="TspgfgAQAChevinPro-Medium"/>
                <w:color w:val="000000" w:themeColor="text1"/>
                <w:sz w:val="24"/>
                <w:szCs w:val="24"/>
              </w:rPr>
              <w:t>Monopolistic competition</w:t>
            </w:r>
          </w:p>
          <w:p w14:paraId="16F59F29"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4.1.5.5 </w:t>
            </w:r>
            <w:r w:rsidRPr="00E46D60">
              <w:rPr>
                <w:rFonts w:ascii="TspgfgAQAChevinPro-Medium" w:hAnsi="TspgfgAQAChevinPro-Medium" w:cs="TspgfgAQAChevinPro-Medium"/>
                <w:color w:val="000000" w:themeColor="text1"/>
                <w:sz w:val="24"/>
                <w:szCs w:val="24"/>
              </w:rPr>
              <w:t>Oligopoly</w:t>
            </w:r>
          </w:p>
          <w:p w14:paraId="0FA81E8C"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4.1.5.6 </w:t>
            </w:r>
            <w:r w:rsidRPr="00E46D60">
              <w:rPr>
                <w:rFonts w:ascii="TspgfgAQAChevinPro-Medium" w:hAnsi="TspgfgAQAChevinPro-Medium" w:cs="TspgfgAQAChevinPro-Medium"/>
                <w:color w:val="000000" w:themeColor="text1"/>
                <w:sz w:val="24"/>
                <w:szCs w:val="24"/>
              </w:rPr>
              <w:t>Monopoly and monopoly power</w:t>
            </w:r>
          </w:p>
          <w:p w14:paraId="721DBEAF"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4.1.5.7 </w:t>
            </w:r>
            <w:r w:rsidRPr="00E46D60">
              <w:rPr>
                <w:rFonts w:ascii="TspgfgAQAChevinPro-Medium" w:hAnsi="TspgfgAQAChevinPro-Medium" w:cs="TspgfgAQAChevinPro-Medium"/>
                <w:color w:val="000000" w:themeColor="text1"/>
                <w:sz w:val="24"/>
                <w:szCs w:val="24"/>
              </w:rPr>
              <w:t>Price discrimination</w:t>
            </w:r>
          </w:p>
          <w:p w14:paraId="4D970325"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4.1.5.8 </w:t>
            </w:r>
            <w:r w:rsidRPr="00E46D60">
              <w:rPr>
                <w:rFonts w:ascii="TspgfgAQAChevinPro-Medium" w:hAnsi="TspgfgAQAChevinPro-Medium" w:cs="TspgfgAQAChevinPro-Medium"/>
                <w:color w:val="000000" w:themeColor="text1"/>
                <w:sz w:val="24"/>
                <w:szCs w:val="24"/>
              </w:rPr>
              <w:t>The dynamics of competition and competitive market processes</w:t>
            </w:r>
          </w:p>
          <w:p w14:paraId="35561D17"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4.1.5.9 </w:t>
            </w:r>
            <w:r w:rsidRPr="00E46D60">
              <w:rPr>
                <w:rFonts w:ascii="TspgfgAQAChevinPro-Medium" w:hAnsi="TspgfgAQAChevinPro-Medium" w:cs="TspgfgAQAChevinPro-Medium"/>
                <w:color w:val="000000" w:themeColor="text1"/>
                <w:sz w:val="24"/>
                <w:szCs w:val="24"/>
              </w:rPr>
              <w:t>Contestable and non-contestable markets</w:t>
            </w:r>
          </w:p>
          <w:p w14:paraId="660541C0" w14:textId="77777777" w:rsidR="00C068EB" w:rsidRPr="00E46D60" w:rsidRDefault="00C068EB" w:rsidP="0070384C">
            <w:pPr>
              <w:pStyle w:val="ListParagraph"/>
              <w:ind w:left="1214"/>
              <w:rPr>
                <w:rFonts w:ascii="TspgfgAQAChevinPro-Medium" w:hAnsi="TspgfgAQAChevinPro-Medium" w:cs="TspgfgAQAChevinPro-Medium"/>
                <w:color w:val="000000" w:themeColor="text1"/>
                <w:sz w:val="24"/>
                <w:szCs w:val="24"/>
              </w:rPr>
            </w:pPr>
            <w:r w:rsidRPr="00E46D60">
              <w:rPr>
                <w:rFonts w:ascii="QglydyArialMT" w:hAnsi="QglydyArialMT" w:cs="QglydyArialMT"/>
                <w:color w:val="000000" w:themeColor="text1"/>
                <w:sz w:val="24"/>
                <w:szCs w:val="24"/>
              </w:rPr>
              <w:t xml:space="preserve">4.1.5.10 </w:t>
            </w:r>
            <w:r w:rsidRPr="00E46D60">
              <w:rPr>
                <w:rFonts w:ascii="TspgfgAQAChevinPro-Medium" w:hAnsi="TspgfgAQAChevinPro-Medium" w:cs="TspgfgAQAChevinPro-Medium"/>
                <w:color w:val="000000" w:themeColor="text1"/>
                <w:sz w:val="24"/>
                <w:szCs w:val="24"/>
              </w:rPr>
              <w:t xml:space="preserve">Market structure, static </w:t>
            </w:r>
            <w:r w:rsidRPr="00E46D60">
              <w:rPr>
                <w:rFonts w:ascii="WdwxbnAQAChevinPro-Medium" w:hAnsi="WdwxbnAQAChevinPro-Medium" w:cs="WdwxbnAQAChevinPro-Medium"/>
                <w:color w:val="000000" w:themeColor="text1"/>
                <w:sz w:val="24"/>
                <w:szCs w:val="24"/>
              </w:rPr>
              <w:t xml:space="preserve">efficiency, </w:t>
            </w:r>
            <w:r w:rsidRPr="00E46D60">
              <w:rPr>
                <w:rFonts w:ascii="TspgfgAQAChevinPro-Medium" w:hAnsi="TspgfgAQAChevinPro-Medium" w:cs="TspgfgAQAChevinPro-Medium"/>
                <w:color w:val="000000" w:themeColor="text1"/>
                <w:sz w:val="24"/>
                <w:szCs w:val="24"/>
              </w:rPr>
              <w:t xml:space="preserve">dynamic </w:t>
            </w:r>
            <w:r w:rsidRPr="00E46D60">
              <w:rPr>
                <w:rFonts w:ascii="WdwxbnAQAChevinPro-Medium" w:hAnsi="WdwxbnAQAChevinPro-Medium" w:cs="WdwxbnAQAChevinPro-Medium"/>
                <w:color w:val="000000" w:themeColor="text1"/>
                <w:sz w:val="24"/>
                <w:szCs w:val="24"/>
              </w:rPr>
              <w:t xml:space="preserve">efficiency </w:t>
            </w:r>
            <w:r w:rsidRPr="00E46D60">
              <w:rPr>
                <w:rFonts w:ascii="TspgfgAQAChevinPro-Medium" w:hAnsi="TspgfgAQAChevinPro-Medium" w:cs="TspgfgAQAChevinPro-Medium"/>
                <w:color w:val="000000" w:themeColor="text1"/>
                <w:sz w:val="24"/>
                <w:szCs w:val="24"/>
              </w:rPr>
              <w:t>and resource allocation</w:t>
            </w:r>
          </w:p>
          <w:p w14:paraId="704CD9BE" w14:textId="23A27FE1" w:rsidR="00C068EB" w:rsidRPr="005D49C7" w:rsidRDefault="00C068EB" w:rsidP="0070384C">
            <w:pPr>
              <w:pStyle w:val="ListParagraph"/>
              <w:ind w:left="1214"/>
              <w:rPr>
                <w:rFonts w:cstheme="minorHAnsi"/>
                <w:color w:val="000000" w:themeColor="text1"/>
              </w:rPr>
            </w:pPr>
            <w:r w:rsidRPr="00E46D60">
              <w:rPr>
                <w:rFonts w:ascii="QglydyArialMT" w:hAnsi="QglydyArialMT" w:cs="QglydyArialMT"/>
                <w:color w:val="000000" w:themeColor="text1"/>
                <w:sz w:val="24"/>
                <w:szCs w:val="24"/>
              </w:rPr>
              <w:t xml:space="preserve">4.1.5.11 </w:t>
            </w:r>
            <w:r w:rsidRPr="00E46D60">
              <w:rPr>
                <w:rFonts w:ascii="TspgfgAQAChevinPro-Medium" w:hAnsi="TspgfgAQAChevinPro-Medium" w:cs="TspgfgAQAChevinPro-Medium"/>
                <w:color w:val="000000" w:themeColor="text1"/>
                <w:sz w:val="24"/>
                <w:szCs w:val="24"/>
              </w:rPr>
              <w:t>Consumer and producer surplus</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525D2EB7" w14:textId="77777777" w:rsidR="00E46D60" w:rsidRDefault="00E46D60" w:rsidP="00E46D60">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proofErr w:type="spellStart"/>
              <w:r>
                <w:rPr>
                  <w:rStyle w:val="Hyperlink"/>
                </w:rPr>
                <w:t>EconplusDal</w:t>
              </w:r>
              <w:proofErr w:type="spellEnd"/>
              <w:r>
                <w:rPr>
                  <w:rStyle w:val="Hyperlink"/>
                </w:rPr>
                <w:t xml:space="preserve"> - YouTube</w:t>
              </w:r>
            </w:hyperlink>
          </w:p>
          <w:p w14:paraId="5BD5FECB" w14:textId="77777777" w:rsidR="00E46D60" w:rsidRDefault="00E46D60" w:rsidP="00E46D60">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3B9C9A32" w14:textId="77777777" w:rsidR="00E46D60" w:rsidRDefault="00E46D60" w:rsidP="00E46D60">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01D451F3" w14:textId="77777777" w:rsidR="00E46D60" w:rsidRPr="00F9765D" w:rsidRDefault="00E46D60" w:rsidP="00E46D60">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58FA6074" w:rsidR="008E39B4" w:rsidRPr="001F7779" w:rsidRDefault="008E39B4" w:rsidP="00FE54CF">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E46D60"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glydyArialMT">
    <w:altName w:val="Calibri"/>
    <w:panose1 w:val="00000000000000000000"/>
    <w:charset w:val="00"/>
    <w:family w:val="auto"/>
    <w:notTrueType/>
    <w:pitch w:val="default"/>
    <w:sig w:usb0="00000003" w:usb1="00000000" w:usb2="00000000" w:usb3="00000000" w:csb0="00000001" w:csb1="00000000"/>
  </w:font>
  <w:font w:name="TspgfgAQAChevinPro-Medium">
    <w:altName w:val="Calibri"/>
    <w:panose1 w:val="00000000000000000000"/>
    <w:charset w:val="00"/>
    <w:family w:val="auto"/>
    <w:notTrueType/>
    <w:pitch w:val="default"/>
    <w:sig w:usb0="00000003" w:usb1="00000000" w:usb2="00000000" w:usb3="00000000" w:csb0="00000001" w:csb1="00000000"/>
  </w:font>
  <w:font w:name="WdwxbnAQAChevinPro-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1F7779"/>
    <w:rsid w:val="002B0167"/>
    <w:rsid w:val="003455DA"/>
    <w:rsid w:val="003E6B6F"/>
    <w:rsid w:val="00440E6C"/>
    <w:rsid w:val="00487E07"/>
    <w:rsid w:val="004B17FA"/>
    <w:rsid w:val="005D49C7"/>
    <w:rsid w:val="005F4E99"/>
    <w:rsid w:val="00631D5E"/>
    <w:rsid w:val="0070384C"/>
    <w:rsid w:val="007146EF"/>
    <w:rsid w:val="00804340"/>
    <w:rsid w:val="00811F13"/>
    <w:rsid w:val="0083335D"/>
    <w:rsid w:val="00847F4E"/>
    <w:rsid w:val="00867D25"/>
    <w:rsid w:val="008A6FC2"/>
    <w:rsid w:val="008B1952"/>
    <w:rsid w:val="008E39B4"/>
    <w:rsid w:val="00A23F48"/>
    <w:rsid w:val="00A314F1"/>
    <w:rsid w:val="00B47DF2"/>
    <w:rsid w:val="00BA646E"/>
    <w:rsid w:val="00C068EB"/>
    <w:rsid w:val="00C1340F"/>
    <w:rsid w:val="00C67435"/>
    <w:rsid w:val="00CA59AB"/>
    <w:rsid w:val="00D331C4"/>
    <w:rsid w:val="00DB0006"/>
    <w:rsid w:val="00DC23A5"/>
    <w:rsid w:val="00E46D60"/>
    <w:rsid w:val="00E5371A"/>
    <w:rsid w:val="00E64F4C"/>
    <w:rsid w:val="00F43D58"/>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AA44CA-DD6E-42F5-99DD-560E0354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2022-06-21T12:16:00Z</dcterms:created>
  <dcterms:modified xsi:type="dcterms:W3CDTF">2022-07-01T11:55:00Z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